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6CC60" w14:textId="168C3D92" w:rsidR="000611C6" w:rsidRPr="000611C6" w:rsidRDefault="000611C6" w:rsidP="000611C6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  <w:lang w:val="en-GB"/>
        </w:rPr>
      </w:pPr>
      <w:r w:rsidRPr="000611C6">
        <w:rPr>
          <w:rFonts w:ascii="Arial" w:hAnsi="Arial" w:cs="Arial"/>
          <w:b/>
          <w:sz w:val="28"/>
          <w:szCs w:val="28"/>
          <w:lang w:val="en-GB"/>
        </w:rPr>
        <w:t>3GPP TSG RAN WG4 #112bis</w:t>
      </w:r>
      <w:r w:rsidRPr="000611C6">
        <w:rPr>
          <w:rFonts w:ascii="Arial" w:hAnsi="Arial" w:cs="Arial"/>
          <w:b/>
          <w:sz w:val="28"/>
          <w:szCs w:val="28"/>
          <w:lang w:val="en-GB"/>
        </w:rPr>
        <w:tab/>
      </w:r>
      <w:r w:rsidRPr="000611C6">
        <w:rPr>
          <w:rFonts w:ascii="Arial" w:hAnsi="Arial" w:cs="Arial"/>
          <w:b/>
          <w:sz w:val="28"/>
          <w:szCs w:val="28"/>
          <w:lang w:val="en-GB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 w:rsidRPr="000611C6">
        <w:rPr>
          <w:rFonts w:ascii="Arial" w:hAnsi="Arial" w:cs="Arial"/>
          <w:b/>
          <w:sz w:val="28"/>
          <w:szCs w:val="28"/>
          <w:lang w:val="en-GB" w:eastAsia="zh-CN"/>
        </w:rPr>
        <w:tab/>
      </w:r>
      <w:r>
        <w:rPr>
          <w:rFonts w:ascii="Arial" w:hAnsi="Arial" w:cs="Arial"/>
          <w:b/>
          <w:sz w:val="28"/>
          <w:szCs w:val="28"/>
          <w:lang w:val="en-GB" w:eastAsia="zh-CN"/>
        </w:rPr>
        <w:t xml:space="preserve">     </w:t>
      </w:r>
      <w:r w:rsidR="00916BB8" w:rsidRPr="00916BB8">
        <w:rPr>
          <w:rFonts w:ascii="Arial" w:hAnsi="Arial" w:cs="Arial"/>
          <w:b/>
          <w:sz w:val="28"/>
          <w:szCs w:val="28"/>
          <w:lang w:val="en-GB"/>
        </w:rPr>
        <w:t>R4-2416392</w:t>
      </w:r>
    </w:p>
    <w:p w14:paraId="68BB5185" w14:textId="30DC67C3" w:rsidR="000611C6" w:rsidRPr="00E913CF" w:rsidRDefault="000611C6" w:rsidP="000611C6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Hefei, CN, October 14</w:t>
      </w:r>
      <w:r w:rsidRPr="00C05EFB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E913CF">
        <w:rPr>
          <w:rFonts w:ascii="Arial" w:hAnsi="Arial" w:cs="Arial"/>
          <w:b/>
          <w:sz w:val="28"/>
          <w:szCs w:val="28"/>
        </w:rPr>
        <w:t>–</w:t>
      </w:r>
      <w:r>
        <w:rPr>
          <w:rFonts w:ascii="Arial" w:hAnsi="Arial" w:cs="Arial"/>
          <w:b/>
          <w:sz w:val="28"/>
          <w:szCs w:val="28"/>
        </w:rPr>
        <w:t xml:space="preserve"> 18</w:t>
      </w:r>
      <w:r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E913CF">
        <w:rPr>
          <w:rFonts w:ascii="Arial" w:hAnsi="Arial" w:cs="Arial"/>
          <w:b/>
          <w:sz w:val="28"/>
          <w:szCs w:val="28"/>
        </w:rPr>
        <w:t>, 202</w:t>
      </w:r>
      <w:r>
        <w:rPr>
          <w:rFonts w:ascii="Arial" w:hAnsi="Arial" w:cs="Arial"/>
          <w:b/>
          <w:sz w:val="28"/>
          <w:szCs w:val="28"/>
        </w:rPr>
        <w:t>4</w:t>
      </w:r>
    </w:p>
    <w:p w14:paraId="75334291" w14:textId="77777777" w:rsidR="000611C6" w:rsidRPr="000D3066" w:rsidRDefault="000611C6" w:rsidP="000611C6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14:paraId="4A8D9A0E" w14:textId="77777777" w:rsidR="000611C6" w:rsidRPr="000D3066" w:rsidRDefault="000611C6" w:rsidP="000611C6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14:paraId="355BDBC9" w14:textId="42AB1F41" w:rsidR="000611C6" w:rsidRPr="000D3066" w:rsidRDefault="000611C6" w:rsidP="000611C6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52022F">
        <w:rPr>
          <w:rFonts w:ascii="Arial" w:hAnsi="Arial" w:cs="Arial"/>
          <w:b/>
          <w:sz w:val="24"/>
          <w:szCs w:val="24"/>
        </w:rPr>
        <w:t>Agenda Item:</w:t>
      </w:r>
      <w:r w:rsidRPr="0052022F">
        <w:rPr>
          <w:rFonts w:ascii="Arial" w:hAnsi="Arial" w:cs="Arial"/>
          <w:b/>
          <w:sz w:val="24"/>
          <w:szCs w:val="24"/>
        </w:rPr>
        <w:tab/>
      </w:r>
      <w:r w:rsidRPr="0052022F">
        <w:rPr>
          <w:rFonts w:ascii="Arial" w:hAnsi="Arial" w:cs="Arial"/>
          <w:b/>
          <w:sz w:val="24"/>
          <w:szCs w:val="24"/>
        </w:rPr>
        <w:tab/>
      </w:r>
      <w:r w:rsidR="00581C26">
        <w:rPr>
          <w:rFonts w:ascii="Arial" w:hAnsi="Arial" w:cs="Arial"/>
          <w:b/>
          <w:sz w:val="24"/>
          <w:szCs w:val="24"/>
        </w:rPr>
        <w:t>6.12.2.2</w:t>
      </w:r>
    </w:p>
    <w:p w14:paraId="200B798D" w14:textId="48654D3E" w:rsidR="000611C6" w:rsidRPr="0052022F" w:rsidRDefault="000611C6" w:rsidP="000611C6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52022F">
        <w:rPr>
          <w:rFonts w:ascii="Arial" w:hAnsi="Arial" w:cs="Arial"/>
          <w:b/>
          <w:sz w:val="24"/>
          <w:szCs w:val="24"/>
        </w:rPr>
        <w:t>Source:</w:t>
      </w:r>
      <w:r w:rsidRPr="0052022F">
        <w:rPr>
          <w:rFonts w:ascii="Arial" w:hAnsi="Arial" w:cs="Arial"/>
          <w:b/>
          <w:sz w:val="24"/>
          <w:szCs w:val="24"/>
        </w:rPr>
        <w:tab/>
      </w:r>
      <w:r w:rsidRPr="0052022F">
        <w:rPr>
          <w:rFonts w:ascii="Arial" w:hAnsi="Arial" w:cs="Arial"/>
          <w:b/>
          <w:sz w:val="24"/>
          <w:szCs w:val="24"/>
        </w:rPr>
        <w:tab/>
      </w:r>
      <w:r w:rsidRPr="0052022F">
        <w:rPr>
          <w:rFonts w:ascii="Arial" w:hAnsi="Arial" w:cs="Arial"/>
          <w:b/>
          <w:sz w:val="24"/>
          <w:szCs w:val="24"/>
        </w:rPr>
        <w:tab/>
      </w:r>
      <w:r w:rsidRPr="0052022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Inmarsat</w:t>
      </w:r>
      <w:r w:rsidR="00916BB8">
        <w:rPr>
          <w:rFonts w:ascii="Arial" w:hAnsi="Arial" w:cs="Arial"/>
          <w:b/>
          <w:sz w:val="24"/>
          <w:szCs w:val="24"/>
        </w:rPr>
        <w:t>, Viasat</w:t>
      </w:r>
    </w:p>
    <w:p w14:paraId="7342CD4B" w14:textId="475EEC4B" w:rsidR="000611C6" w:rsidRDefault="000611C6" w:rsidP="000611C6">
      <w:pPr>
        <w:pStyle w:val="NoSpacing"/>
        <w:ind w:left="2010" w:hanging="201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="00916BB8" w:rsidRPr="00916BB8">
        <w:rPr>
          <w:rFonts w:ascii="Arial" w:hAnsi="Arial" w:cs="Arial"/>
          <w:b/>
          <w:sz w:val="24"/>
          <w:szCs w:val="24"/>
          <w:lang w:val="en-GB"/>
        </w:rPr>
        <w:t>Operator views on Usage Modes for NTN Smartphones</w:t>
      </w:r>
    </w:p>
    <w:p w14:paraId="64CAA37D" w14:textId="1AF13C84" w:rsidR="000611C6" w:rsidRPr="007B491C" w:rsidRDefault="000611C6" w:rsidP="000611C6">
      <w:pPr>
        <w:pStyle w:val="NoSpacing"/>
        <w:ind w:left="2010" w:hanging="201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Discussion</w:t>
      </w:r>
    </w:p>
    <w:p w14:paraId="4CEEEC51" w14:textId="77777777" w:rsidR="000611C6" w:rsidRDefault="000611C6" w:rsidP="000611C6"/>
    <w:p w14:paraId="04ECCD93" w14:textId="77777777" w:rsidR="000611C6" w:rsidRDefault="000611C6" w:rsidP="000611C6">
      <w:pPr>
        <w:pStyle w:val="Heading1"/>
        <w:numPr>
          <w:ilvl w:val="0"/>
          <w:numId w:val="1"/>
        </w:numPr>
        <w:tabs>
          <w:tab w:val="num" w:pos="360"/>
        </w:tabs>
        <w:spacing w:before="0" w:after="240"/>
        <w:ind w:left="1134" w:hanging="1134"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42BF4FA2" w14:textId="3F3DD567" w:rsidR="000611C6" w:rsidRPr="00F61AF1" w:rsidRDefault="00F61AF1" w:rsidP="00F61AF1">
      <w:r>
        <w:t>The intent of this paper is to provide a perspective on the anticipated usage modes of NTN devices</w:t>
      </w:r>
      <w:r w:rsidR="00D325D8">
        <w:t>, in particular smartphones,</w:t>
      </w:r>
      <w:r>
        <w:t xml:space="preserve"> from an</w:t>
      </w:r>
      <w:r w:rsidR="00D325D8">
        <w:t xml:space="preserve"> NTN</w:t>
      </w:r>
      <w:r>
        <w:t xml:space="preserve"> operator</w:t>
      </w:r>
      <w:r w:rsidR="00D325D8">
        <w:t>’s perspective</w:t>
      </w:r>
      <w:r>
        <w:t>. At the R</w:t>
      </w:r>
      <w:r w:rsidR="00D325D8">
        <w:t>AN4</w:t>
      </w:r>
      <w:r>
        <w:t xml:space="preserve">#112 WG in Maastricht it was decided that we would follow a smaller subset of usage modes, and that NR handsets will </w:t>
      </w:r>
      <w:r w:rsidR="009E110A">
        <w:t>be baselined on the full sphere coverage</w:t>
      </w:r>
      <w:r>
        <w:t xml:space="preserve">, whereas NB-IoT handsets </w:t>
      </w:r>
      <w:r w:rsidR="009E110A">
        <w:t>will be baselined on partial sphere</w:t>
      </w:r>
      <w:r>
        <w:t xml:space="preserve"> with a directional bias. </w:t>
      </w:r>
    </w:p>
    <w:p w14:paraId="405EE0E1" w14:textId="77777777" w:rsidR="000611C6" w:rsidRDefault="000611C6" w:rsidP="000611C6">
      <w:pPr>
        <w:pStyle w:val="Heading1"/>
        <w:numPr>
          <w:ilvl w:val="0"/>
          <w:numId w:val="1"/>
        </w:numPr>
        <w:tabs>
          <w:tab w:val="num" w:pos="360"/>
        </w:tabs>
        <w:spacing w:before="0" w:after="240"/>
        <w:ind w:left="1134" w:hanging="1134"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3A71DCE6" w14:textId="03023CCD" w:rsidR="00F61AF1" w:rsidRDefault="00F61AF1" w:rsidP="00F61AF1">
      <w:pPr>
        <w:pStyle w:val="Heading2"/>
        <w:rPr>
          <w:lang w:val="en-US"/>
        </w:rPr>
      </w:pPr>
      <w:r>
        <w:rPr>
          <w:lang w:val="en-US"/>
        </w:rPr>
        <w:t>2.1 Mobile Handset – NR</w:t>
      </w:r>
    </w:p>
    <w:p w14:paraId="15A9D7CC" w14:textId="4B28487C" w:rsidR="00C165C9" w:rsidRDefault="009E110A" w:rsidP="00C165C9">
      <w:r>
        <w:t>Our perspectives</w:t>
      </w:r>
      <w:r w:rsidR="00C165C9">
        <w:t xml:space="preserve"> on the anticipated usage modes / use cases for NTN NR Mobile Handsets are as follows:</w:t>
      </w:r>
    </w:p>
    <w:p w14:paraId="73713239" w14:textId="5BC00CB2" w:rsidR="00541C55" w:rsidRDefault="00541C55" w:rsidP="00C165C9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 xml:space="preserve">Smartphones and other handsets supporting NR NTN are expected to support a broad portfolio of services, with closer alignment and user experience </w:t>
      </w:r>
      <w:r w:rsidR="000826C3">
        <w:t>to that of current terrestrial services, but with reduced throughput due to the more challenging link budget.</w:t>
      </w:r>
    </w:p>
    <w:p w14:paraId="75643586" w14:textId="77777777" w:rsidR="00D425B2" w:rsidRDefault="00D425B2" w:rsidP="00D425B2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>Therefore, users should not be expected to operate their device in a fashion that is significantly different from how a TN UE would be operated, except for the fact that the user must be outside or potentially in “light-indoor” (e.g. a car, a tent or behind a large window).</w:t>
      </w:r>
    </w:p>
    <w:p w14:paraId="20663CDC" w14:textId="77777777" w:rsidR="00D425B2" w:rsidRDefault="00D425B2" w:rsidP="00D425B2">
      <w:pPr>
        <w:pStyle w:val="ListParagraph"/>
        <w:numPr>
          <w:ilvl w:val="1"/>
          <w:numId w:val="2"/>
        </w:numPr>
        <w:overflowPunct/>
        <w:autoSpaceDE/>
        <w:autoSpaceDN/>
        <w:adjustRightInd/>
        <w:textAlignment w:val="auto"/>
      </w:pPr>
      <w:r>
        <w:t xml:space="preserve">This means that in all possible orientations the UE should be able to close the link, and no specific orientation should be required </w:t>
      </w:r>
      <w:proofErr w:type="gramStart"/>
      <w:r>
        <w:t>in order to</w:t>
      </w:r>
      <w:proofErr w:type="gramEnd"/>
      <w:r>
        <w:t xml:space="preserve"> facilitate satellite access.</w:t>
      </w:r>
    </w:p>
    <w:p w14:paraId="7A6AFC76" w14:textId="6EE9732F" w:rsidR="00D425B2" w:rsidRDefault="00D425B2" w:rsidP="00D425B2">
      <w:pPr>
        <w:pStyle w:val="ListParagraph"/>
        <w:numPr>
          <w:ilvl w:val="1"/>
          <w:numId w:val="2"/>
        </w:numPr>
        <w:overflowPunct/>
        <w:autoSpaceDE/>
        <w:autoSpaceDN/>
        <w:adjustRightInd/>
        <w:textAlignment w:val="auto"/>
      </w:pPr>
      <w:r>
        <w:t>Making the user hold the UE in a strict orientation for specific functions (e.g. making a voice call, browsing, tethering) may put NTN UEs at a disadvantage from an ergonomic standpoint.</w:t>
      </w:r>
    </w:p>
    <w:p w14:paraId="240C03F5" w14:textId="6329C957" w:rsidR="00CF1BB0" w:rsidRDefault="00CF1BB0" w:rsidP="00D425B2">
      <w:pPr>
        <w:pStyle w:val="ListParagraph"/>
        <w:numPr>
          <w:ilvl w:val="1"/>
          <w:numId w:val="2"/>
        </w:numPr>
        <w:overflowPunct/>
        <w:autoSpaceDE/>
        <w:autoSpaceDN/>
        <w:adjustRightInd/>
        <w:textAlignment w:val="auto"/>
      </w:pPr>
      <w:r>
        <w:t>However, we can expect that in some scenarios, some level of “user education” could be leveraged,</w:t>
      </w:r>
      <w:r w:rsidR="00CD292D">
        <w:t xml:space="preserve"> if correctly implemented,</w:t>
      </w:r>
      <w:r>
        <w:t xml:space="preserve"> to improve an otherwise challenging link.</w:t>
      </w:r>
    </w:p>
    <w:p w14:paraId="64C5F4AB" w14:textId="5DB54628" w:rsidR="00C165C9" w:rsidRDefault="00C165C9" w:rsidP="00C165C9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 xml:space="preserve">The use cases for NR NTN UEs extend beyond voice calls taken from a ‘browsing mode’, if the above point is to be fulfilled, head and hand must </w:t>
      </w:r>
      <w:r w:rsidR="00D425B2">
        <w:t xml:space="preserve">thus </w:t>
      </w:r>
      <w:r>
        <w:t>be considered.</w:t>
      </w:r>
    </w:p>
    <w:p w14:paraId="194822AF" w14:textId="77777777" w:rsidR="00C165C9" w:rsidRDefault="00C165C9" w:rsidP="00C165C9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>In addition to voice, the UE may be used for video calling and video streaming also, which requires a variety of other orientations.</w:t>
      </w:r>
    </w:p>
    <w:p w14:paraId="2DFDEA04" w14:textId="566E1733" w:rsidR="007966C9" w:rsidRDefault="00C165C9" w:rsidP="0010033C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>Tethering is also a possible use case, where the UE is used to provide connectivity to other devices. The orientation of the device in this scenario is unpredictable</w:t>
      </w:r>
      <w:r w:rsidR="00371AD1">
        <w:t xml:space="preserve">, but in many </w:t>
      </w:r>
      <w:proofErr w:type="gramStart"/>
      <w:r w:rsidR="00371AD1">
        <w:t>cases</w:t>
      </w:r>
      <w:proofErr w:type="gramEnd"/>
      <w:r w:rsidR="00371AD1">
        <w:t xml:space="preserve"> it can be expected to correspond to the device lying on a surface</w:t>
      </w:r>
      <w:r>
        <w:t>.</w:t>
      </w:r>
    </w:p>
    <w:p w14:paraId="6559F195" w14:textId="6AA54D02" w:rsidR="003D0E27" w:rsidRDefault="003D0E27" w:rsidP="0010033C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>A device might also be used for map consultation and navigation</w:t>
      </w:r>
      <w:r w:rsidR="00C42698">
        <w:t xml:space="preserve"> </w:t>
      </w:r>
      <w:r w:rsidR="00D67861">
        <w:t xml:space="preserve">on a frontal chest mount, </w:t>
      </w:r>
      <w:r w:rsidR="00C42698">
        <w:t xml:space="preserve">for example by a public safety, law enforcement or </w:t>
      </w:r>
      <w:r w:rsidR="00D67861">
        <w:t>similar user, such as a reporter in the field</w:t>
      </w:r>
      <w:r>
        <w:t>. In this case, the</w:t>
      </w:r>
      <w:r w:rsidR="00F54DA6">
        <w:t xml:space="preserve"> flat</w:t>
      </w:r>
      <w:r>
        <w:t xml:space="preserve"> horizontal scenario, facing up, with partial body blockage, would be realistic.</w:t>
      </w:r>
    </w:p>
    <w:p w14:paraId="071FA788" w14:textId="77777777" w:rsidR="00CD38B7" w:rsidRDefault="00C165C9" w:rsidP="00C165C9">
      <w:proofErr w:type="gramStart"/>
      <w:r>
        <w:t>All of</w:t>
      </w:r>
      <w:proofErr w:type="gramEnd"/>
      <w:r>
        <w:t xml:space="preserve"> the above use cases highlight the need for a</w:t>
      </w:r>
      <w:r w:rsidR="0010033C">
        <w:t xml:space="preserve">n antenna pattern with a strong spherical, </w:t>
      </w:r>
      <w:r>
        <w:t xml:space="preserve">omni-directional </w:t>
      </w:r>
      <w:r w:rsidR="0010033C">
        <w:t>performance</w:t>
      </w:r>
      <w:r w:rsidR="00CD292D">
        <w:t>, as a baseline</w:t>
      </w:r>
      <w:r w:rsidR="0010033C">
        <w:t>.</w:t>
      </w:r>
      <w:r w:rsidR="00650862">
        <w:t xml:space="preserve">  </w:t>
      </w:r>
    </w:p>
    <w:p w14:paraId="75647220" w14:textId="77777777" w:rsidR="00A47485" w:rsidRDefault="00650862" w:rsidP="00C165C9">
      <w:r>
        <w:t xml:space="preserve">However, given the challenging link budget, that there are </w:t>
      </w:r>
      <w:proofErr w:type="gramStart"/>
      <w:r>
        <w:t>a number of</w:t>
      </w:r>
      <w:proofErr w:type="gramEnd"/>
      <w:r>
        <w:t xml:space="preserve"> modes in which the device could still benefit greatly from</w:t>
      </w:r>
      <w:r w:rsidR="00CD38B7">
        <w:t xml:space="preserve"> a directional bias of the coverage performance, </w:t>
      </w:r>
      <w:r w:rsidR="00E71B88">
        <w:t xml:space="preserve">and that to some extent the user can be “educated” to </w:t>
      </w:r>
      <w:r w:rsidR="005B5519">
        <w:t>assist the connection in certain scenarios, we think that other techniques</w:t>
      </w:r>
      <w:r w:rsidR="00747407">
        <w:t xml:space="preserve"> that could be adopte</w:t>
      </w:r>
      <w:r w:rsidR="00A47485">
        <w:t>d.</w:t>
      </w:r>
    </w:p>
    <w:p w14:paraId="3970C023" w14:textId="38A2CC4B" w:rsidR="00C165C9" w:rsidRDefault="00A47485" w:rsidP="00C165C9">
      <w:proofErr w:type="spellStart"/>
      <w:r>
        <w:t>Technniques</w:t>
      </w:r>
      <w:proofErr w:type="spellEnd"/>
      <w:r>
        <w:t xml:space="preserve"> based on multi-antennas/multi-TX, such as antenna </w:t>
      </w:r>
      <w:r w:rsidR="00B72F37">
        <w:t>switching/</w:t>
      </w:r>
      <w:r>
        <w:t>selection or even</w:t>
      </w:r>
      <w:r w:rsidR="00B72F37">
        <w:t xml:space="preserve"> simple UL beamforming</w:t>
      </w:r>
      <w:r w:rsidR="005B5519">
        <w:t xml:space="preserve">, </w:t>
      </w:r>
      <w:r w:rsidR="00B72F37">
        <w:t>could be considered</w:t>
      </w:r>
      <w:r w:rsidR="00BA3384">
        <w:t>, since the device has most likely knowledge of its own orientation, as well as the direction of the network</w:t>
      </w:r>
      <w:r w:rsidR="00334586">
        <w:t>, at lea</w:t>
      </w:r>
      <w:r w:rsidR="00F54DA6">
        <w:t>s</w:t>
      </w:r>
      <w:r w:rsidR="00334586">
        <w:t>t for NTN</w:t>
      </w:r>
      <w:r w:rsidR="00FA5961">
        <w:t xml:space="preserve">, where the NTN ephemeris </w:t>
      </w:r>
      <w:proofErr w:type="gramStart"/>
      <w:r w:rsidR="00FA5961">
        <w:t>are</w:t>
      </w:r>
      <w:proofErr w:type="gramEnd"/>
      <w:r w:rsidR="00FA5961">
        <w:t xml:space="preserve"> available to the UE</w:t>
      </w:r>
      <w:r w:rsidR="00334586">
        <w:t>.</w:t>
      </w:r>
    </w:p>
    <w:p w14:paraId="2BCA4482" w14:textId="6FD7CA4A" w:rsidR="00306BE1" w:rsidRPr="00461C04" w:rsidRDefault="00306BE1" w:rsidP="00C165C9">
      <w:pPr>
        <w:rPr>
          <w:b/>
          <w:bCs/>
          <w:i/>
          <w:iCs/>
        </w:rPr>
      </w:pPr>
      <w:r w:rsidRPr="00461C04">
        <w:rPr>
          <w:b/>
          <w:bCs/>
          <w:i/>
          <w:iCs/>
        </w:rPr>
        <w:lastRenderedPageBreak/>
        <w:t xml:space="preserve">Observation 1: </w:t>
      </w:r>
      <w:r w:rsidR="008F0020" w:rsidRPr="00461C04">
        <w:rPr>
          <w:b/>
          <w:bCs/>
          <w:i/>
          <w:iCs/>
        </w:rPr>
        <w:t xml:space="preserve">NTN </w:t>
      </w:r>
      <w:r w:rsidRPr="00461C04">
        <w:rPr>
          <w:b/>
          <w:bCs/>
          <w:i/>
          <w:iCs/>
        </w:rPr>
        <w:t>NR devices are expected to be operated in a range of applications including</w:t>
      </w:r>
      <w:r w:rsidR="00C31906" w:rsidRPr="00461C04">
        <w:rPr>
          <w:b/>
          <w:bCs/>
          <w:i/>
          <w:iCs/>
        </w:rPr>
        <w:t xml:space="preserve"> voice, browsing,</w:t>
      </w:r>
      <w:r w:rsidRPr="00461C04">
        <w:rPr>
          <w:b/>
          <w:bCs/>
          <w:i/>
          <w:iCs/>
        </w:rPr>
        <w:t xml:space="preserve"> video </w:t>
      </w:r>
      <w:r w:rsidR="00C31906" w:rsidRPr="00461C04">
        <w:rPr>
          <w:b/>
          <w:bCs/>
          <w:i/>
          <w:iCs/>
        </w:rPr>
        <w:t>calls,</w:t>
      </w:r>
      <w:r w:rsidRPr="00461C04">
        <w:rPr>
          <w:b/>
          <w:bCs/>
          <w:i/>
          <w:iCs/>
        </w:rPr>
        <w:t xml:space="preserve"> video streaming</w:t>
      </w:r>
      <w:r w:rsidR="00C31906" w:rsidRPr="00461C04">
        <w:rPr>
          <w:b/>
          <w:bCs/>
          <w:i/>
          <w:iCs/>
        </w:rPr>
        <w:t xml:space="preserve"> and tethering.</w:t>
      </w:r>
    </w:p>
    <w:p w14:paraId="701A8715" w14:textId="25C0D1C1" w:rsidR="00306BE1" w:rsidRPr="00461C04" w:rsidRDefault="00306BE1" w:rsidP="00C165C9">
      <w:pPr>
        <w:rPr>
          <w:b/>
          <w:bCs/>
          <w:i/>
          <w:iCs/>
        </w:rPr>
      </w:pPr>
      <w:r w:rsidRPr="00461C04">
        <w:rPr>
          <w:b/>
          <w:bCs/>
          <w:i/>
          <w:iCs/>
        </w:rPr>
        <w:t xml:space="preserve">Observation 2: </w:t>
      </w:r>
      <w:r w:rsidR="008F0020" w:rsidRPr="00461C04">
        <w:rPr>
          <w:b/>
          <w:bCs/>
          <w:i/>
          <w:iCs/>
        </w:rPr>
        <w:t xml:space="preserve">NTN </w:t>
      </w:r>
      <w:r w:rsidRPr="00461C04">
        <w:rPr>
          <w:b/>
          <w:bCs/>
          <w:i/>
          <w:iCs/>
        </w:rPr>
        <w:t xml:space="preserve">NR devices are expected </w:t>
      </w:r>
      <w:r w:rsidR="008F0020" w:rsidRPr="00461C04">
        <w:rPr>
          <w:b/>
          <w:bCs/>
          <w:i/>
          <w:iCs/>
        </w:rPr>
        <w:t>to be operated in a similar manner to that of a TN handset</w:t>
      </w:r>
      <w:r w:rsidR="004B4A2C" w:rsidRPr="00461C04">
        <w:rPr>
          <w:b/>
          <w:bCs/>
          <w:i/>
          <w:iCs/>
        </w:rPr>
        <w:t>, and to be operated using usage modes that a TN handset would use also</w:t>
      </w:r>
      <w:r w:rsidR="00C31906" w:rsidRPr="00461C04">
        <w:rPr>
          <w:b/>
          <w:bCs/>
          <w:i/>
          <w:iCs/>
        </w:rPr>
        <w:t xml:space="preserve">, including </w:t>
      </w:r>
      <w:r w:rsidR="004D5254" w:rsidRPr="00461C04">
        <w:rPr>
          <w:b/>
          <w:bCs/>
          <w:i/>
          <w:iCs/>
        </w:rPr>
        <w:t>head-and-hand, browsing and lying on surfaces</w:t>
      </w:r>
      <w:r w:rsidR="00FA5961" w:rsidRPr="00461C04">
        <w:rPr>
          <w:b/>
          <w:bCs/>
          <w:i/>
          <w:iCs/>
        </w:rPr>
        <w:t xml:space="preserve"> or horizontal mounts</w:t>
      </w:r>
      <w:r w:rsidR="004D5254" w:rsidRPr="00461C04">
        <w:rPr>
          <w:b/>
          <w:bCs/>
          <w:i/>
          <w:iCs/>
        </w:rPr>
        <w:t xml:space="preserve"> (e.g. for tethering or map navigation)</w:t>
      </w:r>
    </w:p>
    <w:p w14:paraId="15DABF87" w14:textId="32BFA112" w:rsidR="00FA5961" w:rsidRPr="00461C04" w:rsidRDefault="00461C04" w:rsidP="00C165C9">
      <w:pPr>
        <w:rPr>
          <w:b/>
          <w:bCs/>
          <w:i/>
          <w:iCs/>
        </w:rPr>
      </w:pPr>
      <w:r w:rsidRPr="00461C04">
        <w:rPr>
          <w:b/>
          <w:bCs/>
          <w:i/>
          <w:iCs/>
        </w:rPr>
        <w:t xml:space="preserve">Proposal 1: </w:t>
      </w:r>
      <w:r>
        <w:rPr>
          <w:b/>
          <w:bCs/>
          <w:i/>
          <w:iCs/>
        </w:rPr>
        <w:t>Further c</w:t>
      </w:r>
      <w:r w:rsidRPr="00461C04">
        <w:rPr>
          <w:b/>
          <w:bCs/>
          <w:i/>
          <w:iCs/>
        </w:rPr>
        <w:t>onsider</w:t>
      </w:r>
      <w:r>
        <w:rPr>
          <w:b/>
          <w:bCs/>
          <w:i/>
          <w:iCs/>
        </w:rPr>
        <w:t xml:space="preserve"> additional techniques to improve the</w:t>
      </w:r>
      <w:r w:rsidR="00A76AAE">
        <w:rPr>
          <w:b/>
          <w:bCs/>
          <w:i/>
          <w:iCs/>
        </w:rPr>
        <w:t xml:space="preserve"> directional coverage by leveraging multi-antenna TX, antenna switching, selection and simple beamforming, based on UE awareness and satellite assistance information.</w:t>
      </w:r>
    </w:p>
    <w:p w14:paraId="2692E51A" w14:textId="3399B605" w:rsidR="00F61AF1" w:rsidRPr="00306BE1" w:rsidRDefault="00C165C9" w:rsidP="00C165C9">
      <w:pPr>
        <w:pStyle w:val="Heading2"/>
      </w:pPr>
      <w:r w:rsidRPr="00306BE1">
        <w:t>2.2 Mobile Handset – NB-IoT</w:t>
      </w:r>
    </w:p>
    <w:p w14:paraId="30F88A9A" w14:textId="6F52117E" w:rsidR="00DB53D4" w:rsidRDefault="00A76AAE" w:rsidP="00DB53D4">
      <w:r>
        <w:t>Our</w:t>
      </w:r>
      <w:r w:rsidR="00DB53D4">
        <w:t xml:space="preserve"> perspective</w:t>
      </w:r>
      <w:r>
        <w:t>s</w:t>
      </w:r>
      <w:r w:rsidR="00DB53D4">
        <w:t xml:space="preserve"> on the anticipated usage modes for NTN NB-IoT Mobile handsets are as follows:</w:t>
      </w:r>
    </w:p>
    <w:p w14:paraId="330AA817" w14:textId="6D92676C" w:rsidR="00DB53D4" w:rsidRDefault="00DB53D4" w:rsidP="008C7EAD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 xml:space="preserve">NB-IoT </w:t>
      </w:r>
      <w:r w:rsidR="00A76AAE">
        <w:t xml:space="preserve">primarily </w:t>
      </w:r>
      <w:r>
        <w:t>supports low data rate communication, as such</w:t>
      </w:r>
      <w:r w:rsidR="00A76AAE">
        <w:t>, it’s applicability to smartphones is</w:t>
      </w:r>
      <w:r>
        <w:t xml:space="preserve"> expected </w:t>
      </w:r>
      <w:r w:rsidR="00A76AAE">
        <w:t xml:space="preserve">to focus primarily on </w:t>
      </w:r>
      <w:r>
        <w:t>messaging</w:t>
      </w:r>
      <w:r w:rsidR="00A76AAE">
        <w:t xml:space="preserve">, SOS and wireless emergency alerts, with some limited capabilities </w:t>
      </w:r>
      <w:r>
        <w:t>voice call</w:t>
      </w:r>
      <w:r w:rsidR="00A76AAE">
        <w:t>s</w:t>
      </w:r>
      <w:r>
        <w:t>.</w:t>
      </w:r>
    </w:p>
    <w:p w14:paraId="3853A18A" w14:textId="29D149DB" w:rsidR="00866744" w:rsidRDefault="00866744" w:rsidP="00DB53D4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 xml:space="preserve">In addition, currently, NB-IoT is being deployed on existing GEO satellites or low-power NGSO satellites, due to its narrow band properties, </w:t>
      </w:r>
      <w:r w:rsidR="00394436">
        <w:t>which were not originally designed for smartphone support.</w:t>
      </w:r>
    </w:p>
    <w:p w14:paraId="3ADF4669" w14:textId="215B604C" w:rsidR="00DB53D4" w:rsidRDefault="00DB53D4" w:rsidP="00DB53D4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 xml:space="preserve">Since user </w:t>
      </w:r>
      <w:r w:rsidR="000D1C8A">
        <w:t>unawareness</w:t>
      </w:r>
      <w:r>
        <w:t xml:space="preserve"> is not of paramount importance in an emergency, </w:t>
      </w:r>
      <w:r w:rsidR="000D1C8A">
        <w:t xml:space="preserve">the user can be </w:t>
      </w:r>
      <w:r w:rsidR="00394436">
        <w:t>guided</w:t>
      </w:r>
      <w:r w:rsidR="000D1C8A">
        <w:t xml:space="preserve"> in adopting </w:t>
      </w:r>
      <w:r>
        <w:t>a specific orientation of the handset</w:t>
      </w:r>
      <w:r w:rsidR="000D1C8A">
        <w:t xml:space="preserve">, </w:t>
      </w:r>
      <w:proofErr w:type="gramStart"/>
      <w:r>
        <w:t>in order to</w:t>
      </w:r>
      <w:proofErr w:type="gramEnd"/>
      <w:r>
        <w:t xml:space="preserve"> facilitate </w:t>
      </w:r>
      <w:r w:rsidR="00394436">
        <w:t xml:space="preserve">connection with the </w:t>
      </w:r>
      <w:r>
        <w:t>satellite.</w:t>
      </w:r>
    </w:p>
    <w:p w14:paraId="3FD51643" w14:textId="08DC32A1" w:rsidR="008C7EAD" w:rsidRDefault="009D1DD1" w:rsidP="00DB53D4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>Specifically,</w:t>
      </w:r>
      <w:r w:rsidR="008C7EAD">
        <w:t xml:space="preserve"> for messaging, </w:t>
      </w:r>
      <w:r>
        <w:t>which is arguably the primary use case, users tend to naturally adopt a mode very similar to browsing mode.</w:t>
      </w:r>
    </w:p>
    <w:p w14:paraId="229CEBA2" w14:textId="77777777" w:rsidR="00DB53D4" w:rsidRDefault="00DB53D4" w:rsidP="00DB53D4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>In emergency situations a more reliable link is necessary. Hence, a high gain portion of the antenna pointing towards the satellite would provide a decent margin in the link budget allowing for a more reliable link.</w:t>
      </w:r>
    </w:p>
    <w:p w14:paraId="520955B3" w14:textId="337E244C" w:rsidR="00A52403" w:rsidRDefault="00A52403" w:rsidP="00DB53D4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 xml:space="preserve">The main additional scenarios in which coverage in other directions would be required is mostly limited to paging and reselection.  In those cases, </w:t>
      </w:r>
      <w:r w:rsidR="00F63F1A">
        <w:t>since the phone is likely to be stored, the link would already be quite challenging to close.</w:t>
      </w:r>
    </w:p>
    <w:p w14:paraId="730383B4" w14:textId="1E4ABFCA" w:rsidR="00F63F1A" w:rsidRDefault="00F63F1A" w:rsidP="00DB53D4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 xml:space="preserve">With future higher power constellations, </w:t>
      </w:r>
      <w:r w:rsidR="00A26E9A">
        <w:t>NB-IoT link budget would be significantly better than NR, thus helping to close the gap also for paging and re-selection, for those devices that may have a directional coverage bias.</w:t>
      </w:r>
    </w:p>
    <w:p w14:paraId="5CB42CE9" w14:textId="7DC1B416" w:rsidR="00F63F1A" w:rsidRDefault="00F63F1A" w:rsidP="00DB53D4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</w:pPr>
      <w:r>
        <w:t xml:space="preserve">Future dual-mode devices that adopt both NB-IoT NTN and NR NTN, may either support both </w:t>
      </w:r>
      <w:r w:rsidR="00D22AD4">
        <w:t>antenna types (if they have multiple antennas, or generally align with the NR antenna pattern, but the narrow band nature would help provide consistent coverage across the orientations.</w:t>
      </w:r>
    </w:p>
    <w:p w14:paraId="7908763F" w14:textId="201C6354" w:rsidR="00DB53D4" w:rsidRDefault="00DB53D4" w:rsidP="00DB53D4">
      <w:r>
        <w:t xml:space="preserve">The above use cases / usage modes show the justification for an antenna with directional bias when concerned with NB-IoT </w:t>
      </w:r>
      <w:r w:rsidR="0000174F">
        <w:t xml:space="preserve">NTN </w:t>
      </w:r>
      <w:r>
        <w:t>UE.</w:t>
      </w:r>
    </w:p>
    <w:p w14:paraId="5A0B805F" w14:textId="3F084BFF" w:rsidR="004B4A2C" w:rsidRPr="00B6294A" w:rsidRDefault="004B4A2C" w:rsidP="00DB53D4">
      <w:pPr>
        <w:rPr>
          <w:b/>
          <w:bCs/>
          <w:i/>
          <w:iCs/>
        </w:rPr>
      </w:pPr>
      <w:r w:rsidRPr="00B6294A">
        <w:rPr>
          <w:b/>
          <w:bCs/>
          <w:i/>
          <w:iCs/>
        </w:rPr>
        <w:t>Observation 3: NTN NB-IoT devices are expected to prioritise low data applications in particular emergency / critical calling / messaging.</w:t>
      </w:r>
    </w:p>
    <w:p w14:paraId="21E2847C" w14:textId="202C8AB6" w:rsidR="004B4A2C" w:rsidRPr="00B6294A" w:rsidRDefault="004B4A2C" w:rsidP="00DB53D4">
      <w:pPr>
        <w:rPr>
          <w:b/>
          <w:bCs/>
          <w:i/>
          <w:iCs/>
        </w:rPr>
      </w:pPr>
      <w:r w:rsidRPr="00B6294A">
        <w:rPr>
          <w:b/>
          <w:bCs/>
          <w:i/>
          <w:iCs/>
        </w:rPr>
        <w:t>Observation 4:</w:t>
      </w:r>
      <w:r w:rsidR="007B0C9B" w:rsidRPr="00B6294A">
        <w:rPr>
          <w:b/>
          <w:bCs/>
          <w:i/>
          <w:iCs/>
        </w:rPr>
        <w:t xml:space="preserve"> NTN NB-IoT</w:t>
      </w:r>
      <w:r w:rsidR="00714F6D" w:rsidRPr="00B6294A">
        <w:rPr>
          <w:b/>
          <w:bCs/>
          <w:i/>
          <w:iCs/>
        </w:rPr>
        <w:t xml:space="preserve"> devices will have a specific set of usage modes to improve the reliability of the link, which enhances the reliability of critical communications.</w:t>
      </w:r>
    </w:p>
    <w:p w14:paraId="3F95BF8C" w14:textId="2E8BB0DF" w:rsidR="0000174F" w:rsidRPr="00B6294A" w:rsidRDefault="0000174F" w:rsidP="00DB53D4">
      <w:pPr>
        <w:rPr>
          <w:b/>
          <w:bCs/>
          <w:i/>
          <w:iCs/>
        </w:rPr>
      </w:pPr>
      <w:r w:rsidRPr="00B6294A">
        <w:rPr>
          <w:b/>
          <w:bCs/>
          <w:i/>
          <w:iCs/>
        </w:rPr>
        <w:t>Observation 5: For future high-power space segment, the coverage gap outside of the preferential direction could be in part mitigated by the space segment capabilities.</w:t>
      </w:r>
    </w:p>
    <w:p w14:paraId="514D8A70" w14:textId="2C249BA2" w:rsidR="0000174F" w:rsidRPr="00B6294A" w:rsidRDefault="0000174F" w:rsidP="00DB53D4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2: </w:t>
      </w:r>
      <w:r w:rsidR="00B6294A">
        <w:rPr>
          <w:b/>
          <w:bCs/>
          <w:i/>
          <w:iCs/>
        </w:rPr>
        <w:t xml:space="preserve">For dual mode devices that will support both NR and NB-IoT NTN, the device is either expected to support both spherical and partial coverage, or to support at least full spherical coverage.  </w:t>
      </w:r>
    </w:p>
    <w:p w14:paraId="69A27753" w14:textId="77777777" w:rsidR="00FB5B05" w:rsidRDefault="00FB5B05" w:rsidP="00FB5B05">
      <w:pPr>
        <w:pStyle w:val="Heading1"/>
        <w:numPr>
          <w:ilvl w:val="0"/>
          <w:numId w:val="1"/>
        </w:numPr>
      </w:pPr>
      <w:r>
        <w:t>Conclusions</w:t>
      </w:r>
    </w:p>
    <w:p w14:paraId="07A96C25" w14:textId="0C9A09EB" w:rsidR="00714F6D" w:rsidRDefault="00714F6D" w:rsidP="00DB53D4">
      <w:pPr>
        <w:rPr>
          <w:b/>
          <w:bCs/>
          <w:i/>
          <w:iCs/>
        </w:rPr>
      </w:pPr>
    </w:p>
    <w:p w14:paraId="50421F0C" w14:textId="77777777" w:rsidR="00B6294A" w:rsidRPr="00461C04" w:rsidRDefault="00B6294A" w:rsidP="00B6294A">
      <w:pPr>
        <w:rPr>
          <w:b/>
          <w:bCs/>
          <w:i/>
          <w:iCs/>
        </w:rPr>
      </w:pPr>
      <w:r w:rsidRPr="00461C04">
        <w:rPr>
          <w:b/>
          <w:bCs/>
          <w:i/>
          <w:iCs/>
        </w:rPr>
        <w:t>Observation 1: NTN NR devices are expected to be operated in a range of applications including voice, browsing, video calls, video streaming and tethering.</w:t>
      </w:r>
    </w:p>
    <w:p w14:paraId="13ADEF1F" w14:textId="77777777" w:rsidR="00B6294A" w:rsidRPr="00461C04" w:rsidRDefault="00B6294A" w:rsidP="00B6294A">
      <w:pPr>
        <w:rPr>
          <w:b/>
          <w:bCs/>
          <w:i/>
          <w:iCs/>
        </w:rPr>
      </w:pPr>
      <w:r w:rsidRPr="00461C04">
        <w:rPr>
          <w:b/>
          <w:bCs/>
          <w:i/>
          <w:iCs/>
        </w:rPr>
        <w:t>Observation 2: NTN NR devices are expected to be operated in a similar manner to that of a TN handset, and to be operated using usage modes that a TN handset would use also, including head-and-hand, browsing and lying on surfaces or horizontal mounts (e.g. for tethering or map navigation)</w:t>
      </w:r>
    </w:p>
    <w:p w14:paraId="3E1BEC39" w14:textId="0773D13E" w:rsidR="00B6294A" w:rsidRDefault="00B6294A" w:rsidP="00DB53D4">
      <w:pPr>
        <w:rPr>
          <w:b/>
          <w:bCs/>
          <w:i/>
          <w:iCs/>
        </w:rPr>
      </w:pPr>
      <w:r w:rsidRPr="00461C04">
        <w:rPr>
          <w:b/>
          <w:bCs/>
          <w:i/>
          <w:iCs/>
        </w:rPr>
        <w:lastRenderedPageBreak/>
        <w:t xml:space="preserve">Proposal 1: </w:t>
      </w:r>
      <w:r>
        <w:rPr>
          <w:b/>
          <w:bCs/>
          <w:i/>
          <w:iCs/>
        </w:rPr>
        <w:t>Further c</w:t>
      </w:r>
      <w:r w:rsidRPr="00461C04">
        <w:rPr>
          <w:b/>
          <w:bCs/>
          <w:i/>
          <w:iCs/>
        </w:rPr>
        <w:t>onsider</w:t>
      </w:r>
      <w:r>
        <w:rPr>
          <w:b/>
          <w:bCs/>
          <w:i/>
          <w:iCs/>
        </w:rPr>
        <w:t xml:space="preserve"> additional techniques to improve the directional coverage by leveraging multi-antenna TX, antenna switching, selection and simple beamforming, based on UE awareness and satellite assistance information.</w:t>
      </w:r>
    </w:p>
    <w:p w14:paraId="29AD0AE1" w14:textId="77777777" w:rsidR="00B6294A" w:rsidRPr="00B6294A" w:rsidRDefault="00B6294A" w:rsidP="00B6294A">
      <w:pPr>
        <w:rPr>
          <w:b/>
          <w:bCs/>
          <w:i/>
          <w:iCs/>
        </w:rPr>
      </w:pPr>
      <w:r w:rsidRPr="00B6294A">
        <w:rPr>
          <w:b/>
          <w:bCs/>
          <w:i/>
          <w:iCs/>
        </w:rPr>
        <w:t>Observation 3: NTN NB-IoT devices are expected to prioritise low data applications in particular emergency / critical calling / messaging.</w:t>
      </w:r>
    </w:p>
    <w:p w14:paraId="6E871035" w14:textId="77777777" w:rsidR="00B6294A" w:rsidRPr="00B6294A" w:rsidRDefault="00B6294A" w:rsidP="00B6294A">
      <w:pPr>
        <w:rPr>
          <w:b/>
          <w:bCs/>
          <w:i/>
          <w:iCs/>
        </w:rPr>
      </w:pPr>
      <w:r w:rsidRPr="00B6294A">
        <w:rPr>
          <w:b/>
          <w:bCs/>
          <w:i/>
          <w:iCs/>
        </w:rPr>
        <w:t>Observation 4: NTN NB-IoT devices will have a specific set of usage modes to improve the reliability of the link, which enhances the reliability of critical communications.</w:t>
      </w:r>
    </w:p>
    <w:p w14:paraId="4E85C37B" w14:textId="77777777" w:rsidR="00B6294A" w:rsidRPr="00B6294A" w:rsidRDefault="00B6294A" w:rsidP="00B6294A">
      <w:pPr>
        <w:rPr>
          <w:b/>
          <w:bCs/>
          <w:i/>
          <w:iCs/>
        </w:rPr>
      </w:pPr>
      <w:r w:rsidRPr="00B6294A">
        <w:rPr>
          <w:b/>
          <w:bCs/>
          <w:i/>
          <w:iCs/>
        </w:rPr>
        <w:t>Observation 5: For future high-power space segment, the coverage gap outside of the preferential direction could be in part mitigated by the space segment capabilities.</w:t>
      </w:r>
    </w:p>
    <w:p w14:paraId="7CA913D5" w14:textId="77777777" w:rsidR="00B6294A" w:rsidRPr="00B6294A" w:rsidRDefault="00B6294A" w:rsidP="00B6294A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2: For dual mode devices that will support both NR and NB-IoT NTN, the device is either expected to support both spherical and partial coverage, or to support at least full spherical coverage.  </w:t>
      </w:r>
    </w:p>
    <w:p w14:paraId="42FE337A" w14:textId="77777777" w:rsidR="00B6294A" w:rsidRPr="00FB5B05" w:rsidRDefault="00B6294A" w:rsidP="00DB53D4"/>
    <w:p w14:paraId="389BEA97" w14:textId="77777777" w:rsidR="00C165C9" w:rsidRPr="00C165C9" w:rsidRDefault="00C165C9" w:rsidP="00C165C9"/>
    <w:p w14:paraId="75D02F8B" w14:textId="77777777" w:rsidR="00EF79E3" w:rsidRDefault="00EF79E3"/>
    <w:sectPr w:rsidR="00EF79E3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366C1" w14:textId="77777777" w:rsidR="00EF79E3" w:rsidRDefault="00EF79E3">
      <w:pPr>
        <w:spacing w:after="0"/>
      </w:pPr>
      <w:r>
        <w:separator/>
      </w:r>
    </w:p>
  </w:endnote>
  <w:endnote w:type="continuationSeparator" w:id="0">
    <w:p w14:paraId="47B89B79" w14:textId="77777777" w:rsidR="00EF79E3" w:rsidRDefault="00EF79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4DECFC" w14:textId="77777777" w:rsidR="00EF79E3" w:rsidRDefault="00EF79E3">
      <w:pPr>
        <w:spacing w:after="0"/>
      </w:pPr>
      <w:r>
        <w:separator/>
      </w:r>
    </w:p>
  </w:footnote>
  <w:footnote w:type="continuationSeparator" w:id="0">
    <w:p w14:paraId="16AD2E5B" w14:textId="77777777" w:rsidR="00EF79E3" w:rsidRDefault="00EF79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964EF" w14:textId="77777777" w:rsidR="00EF79E3" w:rsidRDefault="00EF79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EA2538D"/>
    <w:multiLevelType w:val="hybridMultilevel"/>
    <w:tmpl w:val="0C380A8A"/>
    <w:lvl w:ilvl="0" w:tplc="9612B97A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73226880">
    <w:abstractNumId w:val="0"/>
  </w:num>
  <w:num w:numId="2" w16cid:durableId="1422875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9E3"/>
    <w:rsid w:val="0000174F"/>
    <w:rsid w:val="000611C6"/>
    <w:rsid w:val="000826C3"/>
    <w:rsid w:val="000D1C8A"/>
    <w:rsid w:val="0010033C"/>
    <w:rsid w:val="00306BE1"/>
    <w:rsid w:val="00334586"/>
    <w:rsid w:val="00371AD1"/>
    <w:rsid w:val="00394436"/>
    <w:rsid w:val="003D0E27"/>
    <w:rsid w:val="00402C31"/>
    <w:rsid w:val="00461C04"/>
    <w:rsid w:val="004B4A2C"/>
    <w:rsid w:val="004D5254"/>
    <w:rsid w:val="00513CDD"/>
    <w:rsid w:val="00541C55"/>
    <w:rsid w:val="00581C26"/>
    <w:rsid w:val="005B5519"/>
    <w:rsid w:val="00650862"/>
    <w:rsid w:val="00714F6D"/>
    <w:rsid w:val="00717E7F"/>
    <w:rsid w:val="00747407"/>
    <w:rsid w:val="007966C9"/>
    <w:rsid w:val="007B0C9B"/>
    <w:rsid w:val="00866744"/>
    <w:rsid w:val="008C7EAD"/>
    <w:rsid w:val="008F0020"/>
    <w:rsid w:val="00916BB8"/>
    <w:rsid w:val="009D1DD1"/>
    <w:rsid w:val="009E110A"/>
    <w:rsid w:val="00A26E9A"/>
    <w:rsid w:val="00A47485"/>
    <w:rsid w:val="00A52403"/>
    <w:rsid w:val="00A76AAE"/>
    <w:rsid w:val="00B6294A"/>
    <w:rsid w:val="00B72F37"/>
    <w:rsid w:val="00BA3384"/>
    <w:rsid w:val="00C165C9"/>
    <w:rsid w:val="00C23B4F"/>
    <w:rsid w:val="00C31906"/>
    <w:rsid w:val="00C42698"/>
    <w:rsid w:val="00CD292D"/>
    <w:rsid w:val="00CD38B7"/>
    <w:rsid w:val="00CF1BB0"/>
    <w:rsid w:val="00D22AD4"/>
    <w:rsid w:val="00D325D8"/>
    <w:rsid w:val="00D425B2"/>
    <w:rsid w:val="00D67861"/>
    <w:rsid w:val="00DB53D4"/>
    <w:rsid w:val="00E71B88"/>
    <w:rsid w:val="00EF79E3"/>
    <w:rsid w:val="00F54DA6"/>
    <w:rsid w:val="00F61AF1"/>
    <w:rsid w:val="00F63F1A"/>
    <w:rsid w:val="00FA5961"/>
    <w:rsid w:val="00FB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0A661B"/>
  <w15:chartTrackingRefBased/>
  <w15:docId w15:val="{BB2CD1B4-8D6F-4F72-8629-3EA465F44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1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0611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611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11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11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11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11C6"/>
    <w:pPr>
      <w:outlineLvl w:val="5"/>
    </w:pPr>
  </w:style>
  <w:style w:type="paragraph" w:styleId="Heading7">
    <w:name w:val="heading 7"/>
    <w:basedOn w:val="H6"/>
    <w:next w:val="Normal"/>
    <w:qFormat/>
    <w:rsid w:val="000611C6"/>
    <w:pPr>
      <w:outlineLvl w:val="6"/>
    </w:pPr>
  </w:style>
  <w:style w:type="paragraph" w:styleId="Heading8">
    <w:name w:val="heading 8"/>
    <w:basedOn w:val="Heading1"/>
    <w:next w:val="Normal"/>
    <w:qFormat/>
    <w:rsid w:val="000611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11C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611C6"/>
    <w:pPr>
      <w:spacing w:before="180"/>
      <w:ind w:left="2693" w:hanging="2693"/>
    </w:pPr>
    <w:rPr>
      <w:b/>
    </w:rPr>
  </w:style>
  <w:style w:type="paragraph" w:styleId="TOC1">
    <w:name w:val="toc 1"/>
    <w:semiHidden/>
    <w:rsid w:val="000611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611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611C6"/>
    <w:pPr>
      <w:ind w:left="1701" w:hanging="1701"/>
    </w:pPr>
  </w:style>
  <w:style w:type="paragraph" w:styleId="TOC4">
    <w:name w:val="toc 4"/>
    <w:basedOn w:val="TOC3"/>
    <w:semiHidden/>
    <w:rsid w:val="000611C6"/>
    <w:pPr>
      <w:ind w:left="1418" w:hanging="1418"/>
    </w:pPr>
  </w:style>
  <w:style w:type="paragraph" w:styleId="TOC3">
    <w:name w:val="toc 3"/>
    <w:basedOn w:val="TOC2"/>
    <w:semiHidden/>
    <w:rsid w:val="000611C6"/>
    <w:pPr>
      <w:ind w:left="1134" w:hanging="1134"/>
    </w:pPr>
  </w:style>
  <w:style w:type="paragraph" w:styleId="TOC2">
    <w:name w:val="toc 2"/>
    <w:basedOn w:val="TOC1"/>
    <w:semiHidden/>
    <w:rsid w:val="000611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11C6"/>
    <w:pPr>
      <w:ind w:left="284"/>
    </w:pPr>
  </w:style>
  <w:style w:type="paragraph" w:styleId="Index1">
    <w:name w:val="index 1"/>
    <w:basedOn w:val="Normal"/>
    <w:semiHidden/>
    <w:rsid w:val="000611C6"/>
    <w:pPr>
      <w:keepLines/>
      <w:spacing w:after="0"/>
    </w:pPr>
  </w:style>
  <w:style w:type="paragraph" w:customStyle="1" w:styleId="ZH">
    <w:name w:val="ZH"/>
    <w:rsid w:val="000611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611C6"/>
    <w:pPr>
      <w:outlineLvl w:val="9"/>
    </w:pPr>
  </w:style>
  <w:style w:type="paragraph" w:styleId="ListNumber2">
    <w:name w:val="List Number 2"/>
    <w:basedOn w:val="ListNumber"/>
    <w:semiHidden/>
    <w:rsid w:val="000611C6"/>
    <w:pPr>
      <w:ind w:left="851"/>
    </w:pPr>
  </w:style>
  <w:style w:type="paragraph" w:styleId="Header">
    <w:name w:val="header"/>
    <w:semiHidden/>
    <w:rsid w:val="000611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0611C6"/>
    <w:rPr>
      <w:b/>
      <w:position w:val="6"/>
      <w:sz w:val="16"/>
    </w:rPr>
  </w:style>
  <w:style w:type="paragraph" w:styleId="FootnoteText">
    <w:name w:val="footnote text"/>
    <w:basedOn w:val="Normal"/>
    <w:semiHidden/>
    <w:rsid w:val="000611C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611C6"/>
    <w:rPr>
      <w:b/>
    </w:rPr>
  </w:style>
  <w:style w:type="paragraph" w:customStyle="1" w:styleId="TAC">
    <w:name w:val="TAC"/>
    <w:basedOn w:val="TAL"/>
    <w:rsid w:val="000611C6"/>
    <w:pPr>
      <w:jc w:val="center"/>
    </w:pPr>
  </w:style>
  <w:style w:type="paragraph" w:customStyle="1" w:styleId="TF">
    <w:name w:val="TF"/>
    <w:basedOn w:val="TH"/>
    <w:rsid w:val="000611C6"/>
    <w:pPr>
      <w:keepNext w:val="0"/>
      <w:spacing w:before="0" w:after="240"/>
    </w:pPr>
  </w:style>
  <w:style w:type="paragraph" w:customStyle="1" w:styleId="NO">
    <w:name w:val="NO"/>
    <w:basedOn w:val="Normal"/>
    <w:rsid w:val="000611C6"/>
    <w:pPr>
      <w:keepLines/>
      <w:ind w:left="1135" w:hanging="851"/>
    </w:pPr>
  </w:style>
  <w:style w:type="paragraph" w:styleId="TOC9">
    <w:name w:val="toc 9"/>
    <w:basedOn w:val="TOC8"/>
    <w:semiHidden/>
    <w:rsid w:val="000611C6"/>
    <w:pPr>
      <w:ind w:left="1418" w:hanging="1418"/>
    </w:pPr>
  </w:style>
  <w:style w:type="paragraph" w:customStyle="1" w:styleId="EX">
    <w:name w:val="EX"/>
    <w:basedOn w:val="Normal"/>
    <w:rsid w:val="000611C6"/>
    <w:pPr>
      <w:keepLines/>
      <w:ind w:left="1702" w:hanging="1418"/>
    </w:pPr>
  </w:style>
  <w:style w:type="paragraph" w:customStyle="1" w:styleId="FP">
    <w:name w:val="FP"/>
    <w:basedOn w:val="Normal"/>
    <w:rsid w:val="000611C6"/>
    <w:pPr>
      <w:spacing w:after="0"/>
    </w:pPr>
  </w:style>
  <w:style w:type="paragraph" w:customStyle="1" w:styleId="LD">
    <w:name w:val="LD"/>
    <w:rsid w:val="000611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611C6"/>
    <w:pPr>
      <w:spacing w:after="0"/>
    </w:pPr>
  </w:style>
  <w:style w:type="paragraph" w:customStyle="1" w:styleId="EW">
    <w:name w:val="EW"/>
    <w:basedOn w:val="EX"/>
    <w:rsid w:val="000611C6"/>
    <w:pPr>
      <w:spacing w:after="0"/>
    </w:pPr>
  </w:style>
  <w:style w:type="paragraph" w:styleId="TOC6">
    <w:name w:val="toc 6"/>
    <w:basedOn w:val="TOC5"/>
    <w:next w:val="Normal"/>
    <w:semiHidden/>
    <w:rsid w:val="000611C6"/>
    <w:pPr>
      <w:ind w:left="1985" w:hanging="1985"/>
    </w:pPr>
  </w:style>
  <w:style w:type="paragraph" w:styleId="TOC7">
    <w:name w:val="toc 7"/>
    <w:basedOn w:val="TOC6"/>
    <w:next w:val="Normal"/>
    <w:semiHidden/>
    <w:rsid w:val="000611C6"/>
    <w:pPr>
      <w:ind w:left="2268" w:hanging="2268"/>
    </w:pPr>
  </w:style>
  <w:style w:type="paragraph" w:styleId="ListBullet2">
    <w:name w:val="List Bullet 2"/>
    <w:basedOn w:val="ListBullet"/>
    <w:semiHidden/>
    <w:rsid w:val="000611C6"/>
    <w:pPr>
      <w:ind w:left="851"/>
    </w:pPr>
  </w:style>
  <w:style w:type="paragraph" w:styleId="ListBullet3">
    <w:name w:val="List Bullet 3"/>
    <w:basedOn w:val="ListBullet2"/>
    <w:semiHidden/>
    <w:rsid w:val="000611C6"/>
    <w:pPr>
      <w:ind w:left="1135"/>
    </w:pPr>
  </w:style>
  <w:style w:type="paragraph" w:styleId="ListNumber">
    <w:name w:val="List Number"/>
    <w:basedOn w:val="List"/>
    <w:semiHidden/>
    <w:rsid w:val="000611C6"/>
  </w:style>
  <w:style w:type="paragraph" w:customStyle="1" w:styleId="EQ">
    <w:name w:val="EQ"/>
    <w:basedOn w:val="Normal"/>
    <w:next w:val="Normal"/>
    <w:rsid w:val="000611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11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11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11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611C6"/>
    <w:pPr>
      <w:jc w:val="right"/>
    </w:pPr>
  </w:style>
  <w:style w:type="paragraph" w:customStyle="1" w:styleId="H6">
    <w:name w:val="H6"/>
    <w:basedOn w:val="Heading5"/>
    <w:next w:val="Normal"/>
    <w:rsid w:val="000611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11C6"/>
    <w:pPr>
      <w:ind w:left="851" w:hanging="851"/>
    </w:pPr>
  </w:style>
  <w:style w:type="paragraph" w:customStyle="1" w:styleId="TAL">
    <w:name w:val="TAL"/>
    <w:basedOn w:val="Normal"/>
    <w:rsid w:val="000611C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11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611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611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611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611C6"/>
    <w:pPr>
      <w:framePr w:wrap="notBeside" w:y="16161"/>
    </w:pPr>
  </w:style>
  <w:style w:type="character" w:customStyle="1" w:styleId="ZGSM">
    <w:name w:val="ZGSM"/>
    <w:rsid w:val="000611C6"/>
  </w:style>
  <w:style w:type="paragraph" w:styleId="List2">
    <w:name w:val="List 2"/>
    <w:basedOn w:val="List"/>
    <w:semiHidden/>
    <w:rsid w:val="000611C6"/>
    <w:pPr>
      <w:ind w:left="851"/>
    </w:pPr>
  </w:style>
  <w:style w:type="paragraph" w:customStyle="1" w:styleId="ZG">
    <w:name w:val="ZG"/>
    <w:rsid w:val="000611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611C6"/>
    <w:pPr>
      <w:ind w:left="1135"/>
    </w:pPr>
  </w:style>
  <w:style w:type="paragraph" w:styleId="List4">
    <w:name w:val="List 4"/>
    <w:basedOn w:val="List3"/>
    <w:semiHidden/>
    <w:rsid w:val="000611C6"/>
    <w:pPr>
      <w:ind w:left="1418"/>
    </w:pPr>
  </w:style>
  <w:style w:type="paragraph" w:styleId="List5">
    <w:name w:val="List 5"/>
    <w:basedOn w:val="List4"/>
    <w:semiHidden/>
    <w:rsid w:val="000611C6"/>
    <w:pPr>
      <w:ind w:left="1702"/>
    </w:pPr>
  </w:style>
  <w:style w:type="paragraph" w:customStyle="1" w:styleId="EditorsNote">
    <w:name w:val="Editor's Note"/>
    <w:basedOn w:val="NO"/>
    <w:rsid w:val="000611C6"/>
    <w:rPr>
      <w:color w:val="FF0000"/>
    </w:rPr>
  </w:style>
  <w:style w:type="paragraph" w:styleId="List">
    <w:name w:val="List"/>
    <w:basedOn w:val="Normal"/>
    <w:semiHidden/>
    <w:rsid w:val="000611C6"/>
    <w:pPr>
      <w:ind w:left="568" w:hanging="284"/>
    </w:pPr>
  </w:style>
  <w:style w:type="paragraph" w:styleId="ListBullet">
    <w:name w:val="List Bullet"/>
    <w:basedOn w:val="List"/>
    <w:semiHidden/>
    <w:rsid w:val="000611C6"/>
  </w:style>
  <w:style w:type="paragraph" w:styleId="ListBullet4">
    <w:name w:val="List Bullet 4"/>
    <w:basedOn w:val="ListBullet3"/>
    <w:semiHidden/>
    <w:rsid w:val="000611C6"/>
    <w:pPr>
      <w:ind w:left="1418"/>
    </w:pPr>
  </w:style>
  <w:style w:type="paragraph" w:styleId="ListBullet5">
    <w:name w:val="List Bullet 5"/>
    <w:basedOn w:val="ListBullet4"/>
    <w:semiHidden/>
    <w:rsid w:val="000611C6"/>
    <w:pPr>
      <w:ind w:left="1702"/>
    </w:pPr>
  </w:style>
  <w:style w:type="paragraph" w:customStyle="1" w:styleId="B1">
    <w:name w:val="B1"/>
    <w:basedOn w:val="List"/>
    <w:rsid w:val="000611C6"/>
  </w:style>
  <w:style w:type="paragraph" w:customStyle="1" w:styleId="B2">
    <w:name w:val="B2"/>
    <w:basedOn w:val="List2"/>
    <w:rsid w:val="000611C6"/>
  </w:style>
  <w:style w:type="paragraph" w:customStyle="1" w:styleId="B3">
    <w:name w:val="B3"/>
    <w:basedOn w:val="List3"/>
    <w:rsid w:val="000611C6"/>
  </w:style>
  <w:style w:type="paragraph" w:customStyle="1" w:styleId="B4">
    <w:name w:val="B4"/>
    <w:basedOn w:val="List4"/>
    <w:rsid w:val="000611C6"/>
  </w:style>
  <w:style w:type="paragraph" w:customStyle="1" w:styleId="B5">
    <w:name w:val="B5"/>
    <w:basedOn w:val="List5"/>
    <w:rsid w:val="000611C6"/>
  </w:style>
  <w:style w:type="paragraph" w:styleId="Footer">
    <w:name w:val="footer"/>
    <w:basedOn w:val="Header"/>
    <w:semiHidden/>
    <w:rsid w:val="000611C6"/>
    <w:pPr>
      <w:jc w:val="center"/>
    </w:pPr>
    <w:rPr>
      <w:i/>
    </w:rPr>
  </w:style>
  <w:style w:type="paragraph" w:customStyle="1" w:styleId="ZTD">
    <w:name w:val="ZTD"/>
    <w:basedOn w:val="ZB"/>
    <w:rsid w:val="000611C6"/>
    <w:pPr>
      <w:framePr w:hRule="auto" w:wrap="notBeside" w:y="852"/>
    </w:pPr>
    <w:rPr>
      <w:i w:val="0"/>
      <w:sz w:val="40"/>
    </w:rPr>
  </w:style>
  <w:style w:type="paragraph" w:styleId="NoSpacing">
    <w:name w:val="No Spacing"/>
    <w:uiPriority w:val="1"/>
    <w:qFormat/>
    <w:rsid w:val="000611C6"/>
    <w:rPr>
      <w:rFonts w:ascii="Times New Roman" w:hAnsi="Times New Roman"/>
      <w:lang w:val="en-US" w:eastAsia="en-US"/>
    </w:rPr>
  </w:style>
  <w:style w:type="paragraph" w:styleId="BodyText">
    <w:name w:val="Body Text"/>
    <w:aliases w:val="bt"/>
    <w:basedOn w:val="Normal"/>
    <w:link w:val="BodyTextChar"/>
    <w:rsid w:val="000611C6"/>
    <w:pPr>
      <w:spacing w:after="120"/>
      <w:jc w:val="both"/>
    </w:pPr>
    <w:rPr>
      <w:rFonts w:ascii="Times" w:eastAsia="SimSun" w:hAnsi="Times"/>
      <w:szCs w:val="24"/>
      <w:lang w:val="en-US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0611C6"/>
    <w:rPr>
      <w:rFonts w:ascii="Times" w:eastAsia="SimSun" w:hAnsi="Times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61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nder.Rhodes\OneDrive%20-%20inmarsat.com\Misc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05096D-773F-4C5D-A1FF-51EDCDC9A3B3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AAD71EB0-96B6-4102-8241-1FCF105F38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29DED8-60D6-4111-A6A2-6C4FD4F29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1319</Words>
  <Characters>6860</Characters>
  <Application>Microsoft Office Word</Application>
  <DocSecurity>0</DocSecurity>
  <Lines>57</Lines>
  <Paragraphs>16</Paragraphs>
  <ScaleCrop>false</ScaleCrop>
  <Company>ETSI Sophia Antipolis</Company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Alexander Rhodes</dc:creator>
  <cp:keywords>ESA, style sheet, Winword</cp:keywords>
  <dc:description/>
  <cp:lastModifiedBy>Luca Lodigiani</cp:lastModifiedBy>
  <cp:revision>53</cp:revision>
  <cp:lastPrinted>1900-01-01T00:00:00Z</cp:lastPrinted>
  <dcterms:created xsi:type="dcterms:W3CDTF">2024-10-04T13:13:00Z</dcterms:created>
  <dcterms:modified xsi:type="dcterms:W3CDTF">2024-10-07T16:25:00Z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0x010100B98573469650B343AF314866C5FCEB84</vt:lpwstr>
  </property>
  <property fmtid="{D5CDD505-2E9C-101B-9397-08002B2CF9AE}" pid="3" name="MediaServiceImageTags">
    <vt:lpwstr/>
  </property>
</Properties>
</file>